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Exceptions</w:t>
      </w:r>
    </w:p>
    <w:p>
      <w:pPr>
        <w:jc w:val="both"/>
        <w:spacing w:before="100" w:after="0"/>
        <w:ind w:start="360"/>
        <w:ind w:firstLine="360"/>
      </w:pPr>
      <w:r>
        <w:rPr>
          <w:b/>
        </w:rPr>
        <w:t>1</w:t>
        <w:t xml:space="preserve">.  </w:t>
      </w:r>
      <w:r>
        <w:rPr>
          <w:b/>
        </w:rPr>
        <w:t xml:space="preserve">Certain federal funds.</w:t>
        <w:t xml:space="preserve"> </w:t>
      </w:r>
      <w:r>
        <w:t xml:space="preserve"> </w:t>
      </w:r>
      <w:r>
        <w:t xml:space="preserve">Whenever a public works construction is built in whole or in part using federal funds and is under the jurisdiction of the federal Davis-Bacon Act or other federal act that requires the United States Secretary of Labor to establish the minimum wage and benefits and those minimum wages and benefits are established by the United States Secretary of Labor, </w:t>
      </w:r>
      <w:r>
        <w:t>sections 1304</w:t>
      </w:r>
      <w:r>
        <w:t xml:space="preserve"> to </w:t>
      </w:r>
      <w:r>
        <w:t>1313</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§9 (NEW).]</w:t>
      </w:r>
    </w:p>
    <w:p>
      <w:pPr>
        <w:jc w:val="both"/>
        <w:spacing w:before="100" w:after="0"/>
        <w:ind w:start="360"/>
        <w:ind w:firstLine="360"/>
      </w:pPr>
      <w:r>
        <w:rPr>
          <w:b/>
        </w:rPr>
        <w:t>2</w:t>
        <w:t xml:space="preserve">.  </w:t>
      </w:r>
      <w:r>
        <w:rPr>
          <w:b/>
        </w:rPr>
        <w:t xml:space="preserve">Exceptions for registered apprenticeship programs.</w:t>
        <w:t xml:space="preserve"> </w:t>
      </w:r>
      <w:r>
        <w:t xml:space="preserve"> </w:t>
      </w:r>
      <w:r>
        <w:t xml:space="preserve">A contractor or subcontractor working on a public works project or assisted project subject to this chapter may hire a worker at the rate recognized for registered apprentices working in the pertinent classification only if the worker is a participant in a registered apprenticeship program.  For purposes of this subsection, "registered apprenticeship program" means a program that is registered pursuant to 29 Code of Federal Regulations, Section 29.3 (2016) with the United States Department of Labor, Employment and Training Administration, Office of Apprenticeship or a state apprenticeship agency recognized by the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(NEW). PL 1997, c. 757, §11 (AMD). PL 2021, c. 705,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