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Cooperation with the United States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Cooperation with the United States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§1315. COOPERATION WITH THE UNITED STATES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