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2073</w:t>
        <w:t xml:space="preserve">.  </w:t>
      </w:r>
      <w:r>
        <w:rPr>
          <w:b/>
        </w:rPr>
        <w:t xml:space="preserve">Qualifications; presumption</w:t>
      </w:r>
    </w:p>
    <w:p>
      <w:pPr>
        <w:jc w:val="both"/>
        <w:spacing w:before="100" w:after="100"/>
        <w:ind w:start="360"/>
        <w:ind w:firstLine="360"/>
      </w:pPr>
      <w:r>
        <w:rPr/>
      </w:r>
      <w:r>
        <w:rPr/>
      </w:r>
      <w:r>
        <w:t xml:space="preserve">Any person who is performing work on a rail line which is being sold or otherwise transferred to a new operator within this State who is entitled to priority of employment under </w:t>
      </w:r>
      <w:r>
        <w:t>section 2072</w:t>
      </w:r>
      <w:r>
        <w:t xml:space="preserve"> shall be presumed to be physically and mentally qualified to perform the same or comparable work with the new employer.</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§2073. Qualifications; presumption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§2073. Qualifications; presumption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§2073. QUALIFICATIONS; PRESUMPTION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