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 Deprivation of right;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Deprivation of right;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§2074. DEPRIVATION OF RIGHT;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