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 On-the-job training contracts; apprenticeships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On-the-job training contracts; apprenticeships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§2172. ON-THE-JOB TRAINING CONTRACTS; APPRENTICESHIPS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