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Rules</w:t>
      </w:r>
    </w:p>
    <w:p>
      <w:pPr>
        <w:jc w:val="both"/>
        <w:spacing w:before="100" w:after="100"/>
        <w:ind w:start="360"/>
        <w:ind w:firstLine="360"/>
      </w:pPr>
      <w:r>
        <w:rPr/>
      </w:r>
      <w:r>
        <w:rPr/>
      </w:r>
      <w:r>
        <w:t xml:space="preserve">The rules of the bureau must, at a minimum, conform to the standards of the federal Occupational Safety and Health Administration.  If a rule adopted by the bureau conflicts with the rule of another state agency with regard to occupational safety and health standards, including conflicts of rules regarding employee health exposure, the bureau rule supersedes the other state agency rule.</w:t>
      </w:r>
      <w:r>
        <w:t xml:space="preserve">  </w:t>
      </w:r>
      <w:r xmlns:wp="http://schemas.openxmlformats.org/drawingml/2010/wordprocessingDrawing" xmlns:w15="http://schemas.microsoft.com/office/word/2012/wordml">
        <w:rPr>
          <w:rFonts w:ascii="Arial" w:hAnsi="Arial" w:cs="Arial"/>
          <w:sz w:val="22"/>
          <w:szCs w:val="22"/>
        </w:rPr>
        <w:t xml:space="preserve">[PL 2013, c. 473,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1969, c. 554, §2 (AMD). PL 1975, c. 293, §4 (AMD). PL 1977, c. 78, §163 (AMD). PL 1977, c. 694, §463 (AMD). PL 1979, c. 127, §158 (RPR). PL 1979, c. 541, §A169 (AMD). PL 1995, c. 560, §H10 (AMD). PL 1995, c. 560, §H17 (AFF). PL 2003, c. 689, §B6 (REV). PL 2013, c. 70, Pt. B, §4 (AMD). PL 2013, c. 473,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