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that employer's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[RR 2023, c. 2, Pt. E, §10 (COR).]</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subsection 3 at any site other than the employer's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 hiring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w:pPr>
        <w:jc w:val="both"/>
        <w:spacing w:before="100" w:after="0"/>
        <w:ind w:start="720"/>
      </w:pPr>
      <w:r>
        <w:rPr/>
        <w:t>B</w:t>
        <w:t xml:space="preserve">.  </w:t>
      </w:r>
      <w:r>
        <w:rPr/>
      </w:r>
      <w:r>
        <w:t xml:space="preserve">An employee of the employer conducting hiring activities under this subsection and who is involved in the labor dispute, strike or lockout may not picket, congregate or in any way protest the hiring activities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 (COR).]</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RR 2023, c. 2, Pt. E, §§10,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§595. HIRING OF WORKERS DURING A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