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Concealed firearms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 CONCEALED FIREARMS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