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Safety Education and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Safety Education and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 SAFETY EDUCATION AND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