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A railroad corporation in the State shall furnish each employee of that corporation with a statement with every payment of wages to that employee, listing accrued total earnings and taxes to date, and further furnish that employee at the same time with a separate listing of that employee's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§22 (COR).]</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RR 2023, c. 2, Pt. E,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Information to be furnished to railroad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Information to be furnished to railroad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§633. INFORMATION TO BE FURNISHED TO RAILROAD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