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§664. MINIMUM WAGE; OVERTIME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