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Unfair contracts</w:t>
      </w:r>
    </w:p>
    <w:p>
      <w:pPr>
        <w:jc w:val="both"/>
        <w:spacing w:before="100" w:after="100"/>
        <w:ind w:start="360"/>
        <w:ind w:firstLine="360"/>
      </w:pPr>
      <w:r>
        <w:rPr/>
      </w:r>
      <w:r>
        <w:rPr/>
      </w:r>
      <w:r>
        <w:t xml:space="preserve">An employer may not by a special contract with an employee or by any other means be exempted from this subchapter.</w:t>
      </w:r>
      <w:r>
        <w:t xml:space="preserve">  </w:t>
      </w:r>
      <w:r xmlns:wp="http://schemas.openxmlformats.org/drawingml/2010/wordprocessingDrawing" xmlns:w15="http://schemas.microsoft.com/office/word/2012/wordml">
        <w:rPr>
          <w:rFonts w:ascii="Arial" w:hAnsi="Arial" w:cs="Arial"/>
          <w:sz w:val="22"/>
          <w:szCs w:val="22"/>
        </w:rPr>
        <w:t xml:space="preserve">[RR 2023, c. 2, Pt. E,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466, §7 (NEW). RR 2023, c. 2, Pt. E,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 Unfair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Unfair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§672. UNFAIR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