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 person, except a person covered under Title 20‑A, section 13602, employed in a position other than a temporary position must be granted a leave of absence to fulfill the duties of a Legislator as long as the employee gives written notice to the employee's employer of the employee's intent to become a candidate for the Legislature within 10 days after taking action under Title 21‑A to place the employee's name on a primary or general election ballot.  Following the employee's term of service as a Legislator, the employee, if the employee is still qualified to perform the duties of the position from which the employee was granted leave, is entitled to be restored to the employee's previous, or a similar, position with the same status, pay and seniority.  This leave of absence may, within the discretion of the employer, be with or without pay and is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[RR 2023, c. 2, Pt. E, §28 (COR).]</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RR 2023, c. 2, Pt. E,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§821. PERSON EMPLOYED IN POSITION OTHER THAN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