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 of the State Board of Arbitration and Conciliation, or any member of the board designated by the chair, shall serve as an arbitrator of any case appealed under this section.  The proceeding must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a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§30 (COR).]</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RR 2023, c. 2, Pt. E,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Appeal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Appeal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§824. APPEAL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