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834-A</w:t>
        <w:t xml:space="preserve">.  </w:t>
      </w:r>
      <w:r>
        <w:rPr>
          <w:b/>
        </w:rPr>
        <w:t xml:space="preserve">Arbitration before the Maine Human Rights Commission</w:t>
      </w:r>
    </w:p>
    <w:p>
      <w:pPr>
        <w:jc w:val="both"/>
        <w:spacing w:before="100" w:after="100"/>
        <w:ind w:start="360"/>
        <w:ind w:firstLine="360"/>
      </w:pPr>
      <w:r>
        <w:rPr/>
      </w:r>
      <w:r>
        <w:rPr/>
      </w:r>
      <w:r>
        <w:t xml:space="preserve">An employee who alleges a violation of that employee's rights under </w:t>
      </w:r>
      <w:r>
        <w:t>section 833</w:t>
      </w:r>
      <w:r>
        <w:t xml:space="preserve">, and who has complied with the requirements of </w:t>
      </w:r>
      <w:r>
        <w:t>section 833, subsection 2</w:t>
      </w:r>
      <w:r>
        <w:t xml:space="preserve">, may bring a complaint before the Maine Human Rights Commission for action under </w:t>
      </w:r>
      <w:r>
        <w:t>Title 5, section 4612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782,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782,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§834-A. Arbitration before the Maine Human Rights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§834-A. Arbitration before the Maine Human Rights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§834-A. ARBITRATION BEFORE THE MAINE HUMAN RIGHTS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