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Advertising or soliciting for workers during strike or disturbance; exceptions;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§938. ADVERTISING OR SOLICITING FOR WORKERS DURING STRIKE OR DISTURBANCE; EXCEPTIONS;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