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Application heard as motion</w:t>
      </w:r>
    </w:p>
    <w:p>
      <w:pPr>
        <w:jc w:val="both"/>
        <w:spacing w:before="100" w:after="100"/>
        <w:ind w:start="360"/>
        <w:ind w:firstLine="360"/>
      </w:pPr>
      <w:r>
        <w:rPr/>
      </w:r>
      <w:r>
        <w:rPr/>
      </w:r>
      <w:r>
        <w:t xml:space="preserve">Any application to the court under this subchapter shall be made and heard in the manner provided by law for the making and hearing of motions, except as otherwise expressly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Application heard as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Application heard as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§955. APPLICATION HEARD AS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