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976</w:t>
        <w:t xml:space="preserve">.  </w:t>
      </w:r>
      <w:r>
        <w:rPr>
          <w:b/>
        </w:rPr>
        <w:t xml:space="preserve">Obligations during interim between contracts</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public employees covered by the expired collective bargaining agreement remain eligible for and must receive step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§976. Obligations during interim between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§976. Obligations during interim between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§976. OBLIGATIONS DURING INTERIM BETWEEN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