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979-N</w:t>
        <w:t xml:space="preserve">.  </w:t>
      </w:r>
      <w:r>
        <w:rPr>
          <w:b/>
        </w:rPr>
        <w:t xml:space="preserve">Separability</w:t>
      </w:r>
    </w:p>
    <w:p>
      <w:pPr>
        <w:jc w:val="both"/>
        <w:spacing w:before="100" w:after="0"/>
        <w:ind w:start="360"/>
        <w:ind w:firstLine="360"/>
      </w:pPr>
      <w:r>
        <w:rPr>
          <w:b/>
        </w:rPr>
        <w:t>1</w:t>
        <w:t xml:space="preserve">.  </w:t>
      </w:r>
      <w:r>
        <w:rPr>
          <w:b/>
        </w:rPr>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Nothing in this chapter or any contract negotiated pursuant to this chapter shall in any way be interpreted or allowed to restrict or impair the eligibility of the State of Maine or any of its agencies in obtaining the benefits under any federal grant in 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§979-N.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§979-N.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§979-N.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