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UBLIC LIBRARIES</w:t>
      </w:r>
    </w:p>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UBLIC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UBLIC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3. PUBLIC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