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COUNTY LAW LIBRARIES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COUNTY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COUNTY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7. COUNTY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