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Ratification</w:t>
      </w:r>
    </w:p>
    <w:p>
      <w:pPr>
        <w:jc w:val="both"/>
        <w:spacing w:before="100" w:after="100"/>
        <w:ind w:start="360"/>
        <w:ind w:firstLine="360"/>
      </w:pPr>
      <w:r>
        <w:rPr/>
      </w:r>
      <w:r>
        <w:rPr/>
      </w:r>
      <w:r>
        <w:t xml:space="preserve">The Interstate Library Compact is enacted into law and entered into by this State with all states legally joining therein in the form substantially as provided in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§181.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