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Library agreements by municipalities</w:t>
      </w:r>
    </w:p>
    <w:p>
      <w:pPr>
        <w:jc w:val="both"/>
        <w:spacing w:before="100" w:after="100"/>
        <w:ind w:start="360"/>
        <w:ind w:firstLine="360"/>
      </w:pPr>
      <w:r>
        <w:rPr/>
      </w:r>
      <w:r>
        <w:rPr/>
      </w:r>
      <w:r>
        <w:t xml:space="preserve">No municipality of this State shall be party to a library agreement which provides for the construction or maintenance of a library pursuant to </w:t>
      </w:r>
      <w:r>
        <w:t>Article III, subsection 3, paragraph G</w:t>
      </w:r>
      <w:r>
        <w:t xml:space="preserve">, of this compact, nor pledge its credit in support of such a library, or contribute to the capital financing thereof, except after compliance with any laws applicable to such municipalities relating to or governing capital outlays and the pledging of credit.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 Library agreements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Library agreements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§182. LIBRARY AGREEMENTS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