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§378. EMERGENCY DESIGNATION AS PROTECTED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