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w:t>
        <w:t xml:space="preserve">.  </w:t>
      </w:r>
      <w:r>
        <w:rPr>
          <w:b/>
        </w:rPr>
        <w:t xml:space="preserve">Compliance with federal law</w:t>
      </w:r>
    </w:p>
    <w:p>
      <w:pPr>
        <w:jc w:val="both"/>
        <w:spacing w:before="100" w:after="100"/>
        <w:ind w:start="360"/>
        <w:ind w:firstLine="360"/>
      </w:pPr>
      <w:r>
        <w:rPr/>
      </w:r>
      <w:r>
        <w:rPr/>
      </w:r>
      <w:r>
        <w:t xml:space="preserve">The State Librarian, with the approval of the Governor, may make any regulations necessary to enable the State to comply with any law of the United States, heretofore or hereafter enacted, intended to promote public library services. The Maine State Library is the sole agency authorized to develop, submit and administer or supervise the administration of any state plan required under such law. The Treasurer of State shall be custodian of any money that may be allotted by the Federal Government for general public library services.</w:t>
      </w:r>
      <w:r>
        <w:t xml:space="preserve">  </w:t>
      </w:r>
      <w:r xmlns:wp="http://schemas.openxmlformats.org/drawingml/2010/wordprocessingDrawing" xmlns:w15="http://schemas.microsoft.com/office/word/2012/wordml">
        <w:rPr>
          <w:rFonts w:ascii="Arial" w:hAnsi="Arial" w:cs="Arial"/>
          <w:sz w:val="22"/>
          <w:szCs w:val="22"/>
        </w:rPr>
        <w:t xml:space="preserve">[PL 1989, c. 700,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§291 (AMD). PL 1981, c. 464, §28 (AMD). PL 1989, c. 700, §A108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§38.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