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4-B</w:t>
        <w:t xml:space="preserve">.  </w:t>
      </w:r>
      <w:r>
        <w:rPr>
          <w:b/>
        </w:rPr>
        <w:t xml:space="preserve">Carrying account</w:t>
      </w:r>
    </w:p>
    <w:p>
      <w:pPr>
        <w:jc w:val="both"/>
        <w:spacing w:before="100" w:after="100"/>
        <w:ind w:start="360"/>
        <w:ind w:firstLine="360"/>
      </w:pPr>
      <w:r>
        <w:rPr/>
      </w:r>
      <w:r>
        <w:rPr/>
      </w:r>
      <w:r>
        <w:t xml:space="preserve">The State Librarian may purchase documents, maps, journals or any other printed material of significance to the historical heritage of Maine. Notification of these purchases shall be made to the State Archivist and State Museum Director. Any funds appropriated for the acquisitions of materials shall not lapse but shall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1983, c. 517,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§4-B. Carrying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§4-B. Carrying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§4-B. CARRYING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