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§421. HONORARY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