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Reports from counties,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 REPORTS FROM COUNTIES,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