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Class VI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 licensee may sell malt liquor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Pt. ZZ,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§12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 license:</w:t>
      </w:r>
    </w:p>
    <w:p>
      <w:pPr>
        <w:jc w:val="both"/>
        <w:spacing w:before="100" w:after="0"/>
        <w:ind w:start="720"/>
      </w:pPr>
      <w:r>
        <w:rPr/>
        <w:t>A</w:t>
        <w:t xml:space="preserve">.  </w:t>
      </w:r>
      <w:r>
        <w:rPr/>
      </w:r>
      <w:r>
        <w:t xml:space="preserve">Off-premises retailers with a qualifying stock of groceries, compatible merchandise or combination of both, as described in </w:t>
      </w:r>
      <w:r>
        <w:t>section 1201, subsections 6</w:t>
      </w:r>
      <w:r>
        <w:t xml:space="preserve"> and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§§67,68 (AMD). PL 1987, c. 623, §11 (AMD). PL 1989, c. 158, §7 (AMD). PL 1989, c. 526, §§19,20,28 (AMD). PL 1989, c. 878, §§D8,9 (AMD). PL 1991, c. 528, §§L3,4 (AMD). PL 1991, c. 528, §RRR (AFF). PL 1991, c. 591, §§L3,4 (AMD). PL 1993, c. 410, §ZZ12 (AMD). PL 2021, c. 658, §150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 Class VI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Class VI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§1007. CLASS VI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