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Establishment located at fairgrounds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Establishment located at fairgrounds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§1064. ESTABLISHMENT LOCATED AT FAIRGROUNDS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