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§1075-A. Golf course and disc golf course mobile service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§1075-A. Golf course and disc golf course mobile service bar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§1075-A. GOLF COURSE AND DISC GOLF COURSE MOBILE SERVICE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