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Ship chandlers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§1204. SHIP CHANDLERS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