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Sale of privately held wine by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Sale of privately held wine by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§1209. SALE OF PRIVATELY HELD WINE BY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