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Low-alcohol spirits products sold by wine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wine for on-premises or off-premises consumption may also sell low-alcohol spirits products.  All provisions of this Title applicable to wine, except </w:t>
      </w:r>
      <w:r>
        <w:t>chapters 65</w:t>
      </w:r>
      <w:r>
        <w:t xml:space="preserve"> and </w:t>
      </w:r>
      <w:r>
        <w:t>67</w:t>
      </w:r>
      <w:r>
        <w:t xml:space="preserve">, apply to low-alcohol spirits products when sold by persons licensed to sell wine for on-premises 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wine may also sell and distribute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§VV3 (NEW). PL 1991, c. 591, §VV3 (NEW). PL 2021, c. 658, §49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Low-alcohol spirits products sold by wine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Low-alcohol spirits products sold by wine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 LOW-ALCOHOL SPIRITS PRODUCTS SOLD BY WINE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