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§1355-B. RESEARCH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