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Invoices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Invoices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§1364. INVOICES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