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2071</w:t>
        <w:t xml:space="preserve">.  </w:t>
      </w:r>
      <w:r>
        <w:rPr>
          <w:b/>
        </w:rPr>
        <w:t xml:space="preserve">Failure to appear before the bureau</w:t>
      </w:r>
    </w:p>
    <w:p>
      <w:pPr>
        <w:jc w:val="both"/>
        <w:spacing w:before="100" w:after="0"/>
        <w:ind w:start="360"/>
        <w:ind w:firstLine="360"/>
      </w:pPr>
      <w:r>
        <w:rPr>
          <w:b/>
        </w:rPr>
        <w:t>1</w:t>
        <w:t xml:space="preserve">.  </w:t>
      </w:r>
      <w:r>
        <w:rPr>
          <w:b/>
        </w:rPr>
        <w:t xml:space="preserve">Failure to appear when summoned.</w:t>
        <w:t xml:space="preserve"> </w:t>
      </w:r>
      <w:r>
        <w:t xml:space="preserve"> </w:t>
      </w:r>
      <w:r>
        <w:t xml:space="preserve">It is illegal for a person who is summoned as a witness by the bureau to appear before the bureau, to fail to appear without reasonable cause at the time and place designated in the subpoena or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§152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§§151,152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§2071. Failure to appear before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§2071. Failure to appear before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§2071. FAILURE TO APPEAR BEFORE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