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2077-B</w:t>
        <w:t xml:space="preserve">.  </w:t>
      </w:r>
      <w:r>
        <w:rPr>
          <w:b/>
        </w:rPr>
        <w:t xml:space="preserve">Interstate shipping of liquor prohibited</w:t>
      </w:r>
    </w:p>
    <w:p>
      <w:pPr>
        <w:jc w:val="both"/>
        <w:spacing w:before="100" w:after="0"/>
        <w:ind w:start="360"/>
        <w:ind w:firstLine="360"/>
      </w:pPr>
      <w:r>
        <w:rPr>
          <w:b/>
        </w:rPr>
        <w:t>1</w:t>
        <w:t xml:space="preserve">.  </w:t>
      </w:r>
      <w:r>
        <w:rPr>
          <w:b/>
        </w:rPr>
        <w:t xml:space="preserve">Prohibition.</w:t>
        <w:t xml:space="preserve"> </w:t>
      </w:r>
      <w:r>
        <w:t xml:space="preserve"> </w:t>
      </w:r>
      <w:r>
        <w:t xml:space="preserve">Except as provided in </w:t>
      </w:r>
      <w:r>
        <w:t>section 1403‑A</w:t>
      </w:r>
      <w:r>
        <w:t xml:space="preserve">, a person may not sell, furnish, deliver or purchase liquor from an out-of-state company by mail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373, §4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that violates this section is subject to penalties listed in </w:t>
      </w:r>
      <w:r>
        <w:t>section 2073‑A, subsection 3</w:t>
      </w:r>
      <w:r>
        <w:t xml:space="preserve"> and </w:t>
      </w:r>
      <w:r>
        <w:t>section 2073‑C,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501, §6 (NEW). PL 2003, c. 452, §P8 (AMD). PL 2003, c. 452, §X2 (AFF). PL 2009, c. 373, §4 (AMD). PL 2021, c. 658, §277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§2077-B. Interstate shipping of liquor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§2077-B. Interstate shipping of liquor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§2077-B. INTERSTATE SHIPPING OF LIQUOR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