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Jurisdiction of courts</w:t>
      </w:r>
    </w:p>
    <w:p>
      <w:pPr>
        <w:jc w:val="both"/>
        <w:spacing w:before="100" w:after="100"/>
        <w:ind w:start="360"/>
        <w:ind w:firstLine="360"/>
      </w:pPr>
      <w:r>
        <w:rPr/>
      </w:r>
      <w:r>
        <w:rPr/>
      </w:r>
      <w:r>
        <w:t xml:space="preserve">In prosecutions under this Title, except when otherwise expressly provided, the District Court shall have, by complaint, jurisdiction concurrent with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§2201.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