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Entertainment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Entertainment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 ENTERTAINMENT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