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Plaintiffs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Plaintiffs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§2504. PLAINTIFFS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