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Insurance records</w:t>
      </w:r>
    </w:p>
    <w:p>
      <w:pPr>
        <w:jc w:val="both"/>
        <w:spacing w:before="100" w:after="100"/>
        <w:ind w:start="360"/>
        <w:ind w:firstLine="360"/>
      </w:pPr>
      <w:r>
        <w:rPr>
          <w:b/>
        </w:rPr>
        <w:t>1</w:t>
        <w:t xml:space="preserve">.  </w:t>
      </w:r>
      <w:r>
        <w:rPr>
          <w:b/>
        </w:rPr>
        <w:t xml:space="preserve">Superintendent shall keep records.</w:t>
        <w:t xml:space="preserve"> </w:t>
      </w:r>
      <w:r>
        <w:t xml:space="preserve"> </w:t>
      </w:r>
      <w:r>
        <w:t xml:space="preserve">The Superintendent of Insurance shall collect and maintain records on the following statistics concerning liquor liability insurance in this State:</w:t>
      </w:r>
    </w:p>
    <w:p>
      <w:pPr>
        <w:jc w:val="both"/>
        <w:spacing w:before="100" w:after="0"/>
        <w:ind w:start="720"/>
      </w:pPr>
      <w:r>
        <w:rPr/>
        <w:t>A</w:t>
        <w:t xml:space="preserve">.  </w:t>
      </w:r>
      <w:r>
        <w:rPr/>
      </w:r>
      <w:r>
        <w:t xml:space="preserve">The number and names of companies writing liquor liability insurance, either as a separate line or in a large policy;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number and dollar amount of premiums collected for liquor liability insurance policies;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number and dollar amount of claims incurred under liquor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Superintendent shall make records available.</w:t>
        <w:t xml:space="preserve"> </w:t>
      </w:r>
      <w:r>
        <w:t xml:space="preserve"> </w:t>
      </w:r>
      <w:r>
        <w:t xml:space="preserve">The Superintendent of Insurance shall make available to the Legislature the information collected and maintained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Insurance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Insurance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§2517. INSURANCE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