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Purchase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Purchase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§455.  PURCHASE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