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Prevailing time</w:t>
      </w:r>
    </w:p>
    <w:p>
      <w:pPr>
        <w:jc w:val="both"/>
        <w:spacing w:before="100" w:after="100"/>
        <w:ind w:start="360"/>
        <w:ind w:firstLine="360"/>
      </w:pPr>
      <w:r>
        <w:rPr/>
      </w:r>
      <w:r>
        <w:rPr/>
      </w:r>
      <w:r>
        <w:t xml:space="preserve">The hours referred to in this Title are the legal time prevailing in the State on the day of the sale or other activity.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Prevailing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Prevailing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 PREVAILING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