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Production of licenses or certificates of approval</w:t>
      </w:r>
    </w:p>
    <w:p>
      <w:pPr>
        <w:jc w:val="both"/>
        <w:spacing w:before="100" w:after="100"/>
        <w:ind w:start="360"/>
        <w:ind w:firstLine="360"/>
      </w:pPr>
      <w:r>
        <w:rPr/>
      </w:r>
      <w:r>
        <w:rPr/>
      </w:r>
      <w:r>
        <w:t xml:space="preserve">A licensee shall make available for inspection its licenses or certificates of approval at any premises in the State to which those licenses or certificates of approval apply.</w:t>
      </w:r>
      <w:r>
        <w:t xml:space="preserve">  </w:t>
      </w:r>
      <w:r xmlns:wp="http://schemas.openxmlformats.org/drawingml/2010/wordprocessingDrawing" xmlns:w15="http://schemas.microsoft.com/office/word/2012/wordml">
        <w:rPr>
          <w:rFonts w:ascii="Arial" w:hAnsi="Arial" w:cs="Arial"/>
          <w:sz w:val="22"/>
          <w:szCs w:val="22"/>
        </w:rPr>
        <w:t xml:space="preserve">[PL 2021, c. 658, §86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2011, c. 535, §3 (AMD). PL 2021, c. 658, §86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 Production of licenses or certificates of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Production of licenses or certificates of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§604. PRODUCTION OF LICENSES OR CERTIFICATES OF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