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Licensees closed in case of riots, hurricanes or floods</w:t>
      </w:r>
    </w:p>
    <w:p>
      <w:pPr>
        <w:jc w:val="both"/>
        <w:spacing w:before="100" w:after="100"/>
        <w:ind w:start="360"/>
        <w:ind w:firstLine="360"/>
      </w:pPr>
      <w:r>
        <w:rPr/>
      </w:r>
      <w:r>
        <w:rPr/>
      </w:r>
      <w:r>
        <w:t xml:space="preserve">The Governor or the bureau may, in cases of riots, hurricanes and floods, order any or all licensees not to sell any liquor.</w:t>
      </w:r>
      <w:r>
        <w:t xml:space="preserve">  </w:t>
      </w:r>
      <w:r xmlns:wp="http://schemas.openxmlformats.org/drawingml/2010/wordprocessingDrawing" xmlns:w15="http://schemas.microsoft.com/office/word/2012/wordml">
        <w:rPr>
          <w:rFonts w:ascii="Arial" w:hAnsi="Arial" w:cs="Arial"/>
          <w:sz w:val="22"/>
          <w:szCs w:val="22"/>
        </w:rPr>
        <w:t xml:space="preserve">[PL 1997, c. 373,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Licensees closed in case of riots, hurricanes or floods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Licensees closed in case of riots, hurricanes or floods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§607. LICENSEES CLOSED IN CASE OF RIOTS, HURRICANES OR FLOODS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