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Employment of violators prohibited</w:t>
      </w:r>
    </w:p>
    <w:p>
      <w:pPr>
        <w:jc w:val="both"/>
        <w:spacing w:before="100" w:after="100"/>
        <w:ind w:start="360"/>
        <w:ind w:firstLine="360"/>
      </w:pPr>
      <w:r>
        <w:rPr/>
      </w:r>
      <w:r>
        <w:rPr/>
      </w:r>
      <w:r>
        <w:t xml:space="preserve">A licensee may not employ as a manager or leave in charge of the licensed premises any person who, by reason of conviction of violation of any liquor laws within the last 5 years or because of a revocation of that person's license for sale of liquor within the last 5 years, is not eligible for a liquor license.</w:t>
      </w:r>
      <w:r>
        <w:t xml:space="preserve">  </w:t>
      </w:r>
      <w:r xmlns:wp="http://schemas.openxmlformats.org/drawingml/2010/wordprocessingDrawing" xmlns:w15="http://schemas.microsoft.com/office/word/2012/wordml">
        <w:rPr>
          <w:rFonts w:ascii="Arial" w:hAnsi="Arial" w:cs="Arial"/>
          <w:sz w:val="22"/>
          <w:szCs w:val="22"/>
        </w:rPr>
        <w:t xml:space="preserve">[PL 1997, c. 373,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Employment of violators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Employment of violators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§703. EMPLOYMENT OF VIOLATORS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