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Licensee not to be indebted, obligated or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Licensee not to be indebted, obligated or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§707. LICENSEE NOT TO BE INDEBTED, OBLIGATED OR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