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Jurisdiction of District Court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Jurisdiction of District Court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§801. JURISDICTION OF DISTRICT COURT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