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Records</w:t>
      </w:r>
    </w:p>
    <w:p>
      <w:pPr>
        <w:jc w:val="both"/>
        <w:spacing w:before="100" w:after="0"/>
        <w:ind w:start="360"/>
        <w:ind w:firstLine="360"/>
      </w:pPr>
      <w:r>
        <w:rPr>
          <w:b/>
        </w:rPr>
        <w:t>1</w:t>
        <w:t xml:space="preserve">.  </w:t>
      </w:r>
      <w:r>
        <w:rPr>
          <w:b/>
        </w:rPr>
        <w:t xml:space="preserve">Limitation on maintenance of records.</w:t>
        <w:t xml:space="preserve"> </w:t>
      </w:r>
      <w:r>
        <w:t xml:space="preserve"> </w:t>
      </w:r>
      <w:r>
        <w:t xml:space="preserve">Except as provided in </w:t>
      </w:r>
      <w:r>
        <w:t>subsection 2</w:t>
      </w:r>
      <w:r>
        <w:t xml:space="preserve">, the bureau shall maintain a record of each violation, revocation or suspension for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2</w:t>
        <w:t xml:space="preserve">.  </w:t>
      </w:r>
      <w:r>
        <w:rPr>
          <w:b/>
        </w:rPr>
        <w:t xml:space="preserve">Records of Class A, B and C convictions.</w:t>
        <w:t xml:space="preserve"> </w:t>
      </w:r>
      <w:r>
        <w:t xml:space="preserve"> </w:t>
      </w:r>
      <w:r>
        <w:t xml:space="preserve">The bureau shall maintain records of convictions for Class A, B and C crimes for at least 5 years, and may maintain them longer according to the policy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3</w:t>
        <w:t xml:space="preserve">.  </w:t>
      </w:r>
      <w:r>
        <w:rPr>
          <w:b/>
        </w:rPr>
        <w:t xml:space="preserve">Notice of violators.</w:t>
        <w:t xml:space="preserve"> </w:t>
      </w:r>
      <w:r>
        <w:t xml:space="preserve"> </w:t>
      </w:r>
      <w:r>
        <w:t xml:space="preserve">The District Court clerk shall provide the bureau with the names and dates of final adjudication of all persons found in violation of this Title or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§§6,28 (AMD). PL 1997, c. 373, §83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